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87"/>
        <w:showingPlcHdr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440D3664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Times New Roman" w:hAnsi="Times New Roman" w:eastAsia="黑体" w:cs="Times New Roman"/>
              <w:b/>
              <w:sz w:val="48"/>
              <w:szCs w:val="48"/>
              <w:lang w:val="en-US" w:eastAsia="zh-CN"/>
            </w:rPr>
          </w:pPr>
          <w:r>
            <w:rPr>
              <w:rFonts w:hint="eastAsia"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t xml:space="preserve">     </w:t>
          </w:r>
        </w:p>
      </w:sdtContent>
    </w:sdt>
    <w:p w14:paraId="039EC33D">
      <w:pPr>
        <w:spacing w:line="360" w:lineRule="auto"/>
        <w:jc w:val="center"/>
        <w:rPr>
          <w:rFonts w:hint="default" w:ascii="Times New Roman" w:hAnsi="Times New Roman" w:eastAsia="黑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  <w:lang w:val="en-US" w:eastAsia="zh-CN"/>
        </w:rPr>
        <w:t>永春县阳光交易平台</w:t>
      </w:r>
      <w:r>
        <w:rPr>
          <w:rFonts w:hint="eastAsia" w:ascii="Times New Roman" w:hAnsi="Times New Roman" w:eastAsia="黑体" w:cs="Times New Roman"/>
          <w:b/>
          <w:sz w:val="48"/>
          <w:szCs w:val="48"/>
        </w:rPr>
        <w:t>代理操作手册</w:t>
      </w:r>
    </w:p>
    <w:p w14:paraId="259A5206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579CD5EF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11D505C3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7A1CBCF4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3B036104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4D563A48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7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559"/>
        <w:gridCol w:w="1276"/>
        <w:gridCol w:w="2893"/>
      </w:tblGrid>
      <w:tr w14:paraId="33CE7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7DEDC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C480C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修改日期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466C3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修改内容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C8F68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修改人</w:t>
            </w:r>
          </w:p>
        </w:tc>
        <w:tc>
          <w:tcPr>
            <w:tcW w:w="28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2B425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备注</w:t>
            </w:r>
          </w:p>
        </w:tc>
      </w:tr>
      <w:tr w14:paraId="07395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8612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BDEA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2025-12-25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5C7F8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第一版发布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EE5B2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周英杰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39E20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https://ycxygjypt.etrading.cn/</w:t>
            </w:r>
          </w:p>
        </w:tc>
      </w:tr>
    </w:tbl>
    <w:p w14:paraId="352306FD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9C7AC8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Toc10833"/>
      <w:bookmarkStart w:id="1" w:name="_Toc2837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平台简介与注册</w:t>
      </w:r>
      <w:bookmarkEnd w:id="0"/>
      <w:bookmarkEnd w:id="1"/>
    </w:p>
    <w:p w14:paraId="434420C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2" w:name="_Toc1164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平台简介</w:t>
      </w:r>
      <w:bookmarkEnd w:id="2"/>
    </w:p>
    <w:p w14:paraId="59813B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注：平台请使用360或IE浏览器打开，以确保能兼容平台插件。</w:t>
      </w:r>
    </w:p>
    <w:p w14:paraId="2E4047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代理侧使用新点电子交易平台，共需下载两个个驱动：新点驱动以及新点直播驱动（开标直播大厅使用）。</w:t>
      </w:r>
    </w:p>
    <w:p w14:paraId="1176F6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新点驱动下载网址：https://fujian.etrading.cn/TPBidder/memberLogin?ptcode=350525</w:t>
      </w:r>
    </w:p>
    <w:p w14:paraId="13FFA68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442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注册与登录</w:t>
      </w:r>
      <w:bookmarkEnd w:id="3"/>
    </w:p>
    <w:p w14:paraId="2A664D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首次使用平台的用户需要先进行注册，注册完成后，方可登录。</w:t>
      </w:r>
    </w:p>
    <w:p w14:paraId="189DCF3E">
      <w:pPr>
        <w:numPr>
          <w:ilvl w:val="0"/>
          <w:numId w:val="0"/>
        </w:numPr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进入平台网站，https://ycxygjypt.etrading.cn 点击【用户注册】-【免费注册】</w:t>
      </w:r>
    </w:p>
    <w:p w14:paraId="625C59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4785" cy="2018030"/>
            <wp:effectExtent l="0" t="0" r="8255" b="8890"/>
            <wp:docPr id="8" name="图片 8" descr="b9b14e5e-2d52-4618-b2f2-2125608f9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b14e5e-2d52-4618-b2f2-2125608f95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E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50540"/>
            <wp:effectExtent l="0" t="0" r="38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50540"/>
            <wp:effectExtent l="0" t="0" r="38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505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后续可以在页面右上角可以进行身份切换。</w:t>
      </w:r>
      <w:r>
        <w:rPr>
          <w:sz w:val="24"/>
          <w:szCs w:val="24"/>
        </w:rPr>
        <w:drawing>
          <wp:inline distT="0" distB="0" distL="114300" distR="114300">
            <wp:extent cx="5159375" cy="2988310"/>
            <wp:effectExtent l="0" t="0" r="952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AFF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hanging="425" w:firstLine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" w:name="_Toc1998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相关信息完善。</w:t>
      </w:r>
      <w:bookmarkEnd w:id="4"/>
    </w:p>
    <w:p w14:paraId="2ADC8332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首次登录，需要进入“单位信息管理”功能，进行招标代理信息的完善，否则会影响后续的操作。</w:t>
      </w:r>
    </w:p>
    <w:p w14:paraId="360E016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505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2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在“单位信息管理”中，进行CA激活步骤。需要输入使用者姓名（必填项），随后点击“读取证书”，系统读取信息后，点击“激活”。</w:t>
      </w:r>
    </w:p>
    <w:p w14:paraId="47892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注：深圳CA不用进行激活步骤。需要多下载一个：深圳CA驱动</w:t>
      </w:r>
    </w:p>
    <w:p w14:paraId="2F3BD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79" w:leftChars="228" w:hanging="1200" w:hangingChars="5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下载地址（需下载下来进行安装）：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"https://ggzyfw.fj.gov.cn/CA/index/"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  <w:lang w:val="en-US" w:eastAsia="zh-CN"/>
        </w:rPr>
        <w:t>https://ggzyfw.fj.gov.cn/CA/index/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6A3522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79" w:leftChars="228" w:hanging="1200" w:hangingChars="5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83150" cy="2609215"/>
            <wp:effectExtent l="0" t="0" r="8890" b="12065"/>
            <wp:docPr id="1" name="图片 1" descr="81097378-3bc5-44b0-bddb-0b24c9e90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097378-3bc5-44b0-bddb-0b24c9e902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638C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33290" cy="268478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B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0C2A09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5E20D19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5" w:name="_Toc1576"/>
      <w:bookmarkStart w:id="6" w:name="_Toc18827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工程项目挂网</w:t>
      </w:r>
      <w:bookmarkEnd w:id="5"/>
      <w:bookmarkEnd w:id="6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（采购挂标与工程流程类似）</w:t>
      </w:r>
    </w:p>
    <w:p w14:paraId="43569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1.工程项目挂网，在左侧菜单中，选择“工程业务”，选择“永春县阳光交易平台项目全流程”，按照：项目注册---&gt;场地预约（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如果不需要可跳过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）---&gt;招标文件---&gt;招标公告......</w:t>
      </w:r>
    </w:p>
    <w:p w14:paraId="6AD88BC9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4098925"/>
            <wp:effectExtent l="0" t="0" r="1905" b="635"/>
            <wp:docPr id="10" name="图片 10" descr="743d801d-3865-45de-933e-487669d5b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3d801d-3865-45de-933e-487669d5ba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D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招标人信息中，代理可能不知道业主信息，但是部分为必填项，可以随意填写。业主的银行信息，在项目全流程中不涉及任何转账。</w:t>
      </w:r>
    </w:p>
    <w:p w14:paraId="1A1D32B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58055" cy="2698750"/>
            <wp:effectExtent l="0" t="0" r="1206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18075" cy="2789555"/>
            <wp:effectExtent l="0" t="0" r="444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30140" cy="279654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16805" cy="278892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E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9022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1C0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2.项目注册完成后，进入场地预约模块，进行场地预约（无需预约则跳过）</w:t>
      </w:r>
    </w:p>
    <w:p w14:paraId="202F4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9705" cy="2695575"/>
            <wp:effectExtent l="0" t="0" r="13335" b="1905"/>
            <wp:docPr id="20" name="图片 20" descr="0dcaada2-56bd-4a07-a647-48c18ffa1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dcaada2-56bd-4a07-a647-48c18ffa1c2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7F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E15D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3.场地预约完成后进入招标文件模块，进行招标文件的制作。</w:t>
      </w:r>
    </w:p>
    <w:p w14:paraId="47664E8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989580"/>
            <wp:effectExtent l="0" t="0" r="1206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4B2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FEC6FFA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填写完相关信息后 点击制作招标文件进行制作</w:t>
      </w:r>
    </w:p>
    <w:p w14:paraId="434DA697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288665"/>
            <wp:effectExtent l="0" t="0" r="8890" b="3175"/>
            <wp:docPr id="27" name="图片 27" descr="16a59dd4-2b50-483c-96cf-5c7aee248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a59dd4-2b50-483c-96cf-5c7aee248bc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C428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26B0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43F7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5EB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选择对应的范本，其中“福建限额通用范本”，即为无范本。（可根据项目情况针对性选择）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989580"/>
            <wp:effectExtent l="0" t="0" r="1206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D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01E1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进入招标文件制作阶段，按照左侧任务栏顺序进行，对每一步进行操作。</w:t>
      </w:r>
    </w:p>
    <w:p w14:paraId="7DE4187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983230"/>
            <wp:effectExtent l="0" t="0" r="0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4DC4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87C4E68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1F99A19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注：若招标文件上传的是word</w:t>
      </w:r>
      <w:bookmarkStart w:id="15" w:name="_GoBack"/>
      <w:bookmarkEnd w:id="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则需要先转换再盖章</w:t>
      </w:r>
    </w:p>
    <w:p w14:paraId="66BE47B1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43425" cy="2097405"/>
            <wp:effectExtent l="0" t="0" r="13335" b="5715"/>
            <wp:docPr id="26" name="图片 26" descr="d1bf23fd-ffcf-441a-a441-9f9abad7d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1bf23fd-ffcf-441a-a441-9f9abad7df8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B710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25340" cy="2418715"/>
            <wp:effectExtent l="0" t="0" r="7620" b="4445"/>
            <wp:docPr id="23" name="图片 23" descr="ebf32e66-f80a-456d-bb4e-9fe18d820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bf32e66-f80a-456d-bb4e-9fe18d820bd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C000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C2E980F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生成后可以关掉，并且关掉招标文件流程页面，重新点击进入，则会生成对应的招标文件。</w:t>
      </w:r>
    </w:p>
    <w:p w14:paraId="5554E924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0340" cy="2417445"/>
            <wp:effectExtent l="0" t="0" r="12700" b="5715"/>
            <wp:docPr id="34" name="图片 34" descr="2a0689f2-82a6-4c32-a1ce-0d4de06df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a0689f2-82a6-4c32-a1ce-0d4de06df3e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4473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00E0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AD9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39AF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6B05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保证金子账户记得生成，如果忘记生成，后期可联系平台工作人员进行生成。</w:t>
      </w:r>
    </w:p>
    <w:p w14:paraId="08350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注：如使用线下保证金请勿生成子账号。</w:t>
      </w:r>
    </w:p>
    <w:p w14:paraId="704832DF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37530" cy="2885440"/>
            <wp:effectExtent l="0" t="0" r="1270" b="10160"/>
            <wp:docPr id="21" name="图片 21" descr="585bd496-cd3c-4c68-8f06-f7388b44a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85bd496-cd3c-4c68-8f06-f7388b44ada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5136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43838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7374DE5">
      <w:pPr>
        <w:numPr>
          <w:ilvl w:val="0"/>
          <w:numId w:val="2"/>
        </w:numPr>
        <w:spacing w:line="360" w:lineRule="auto"/>
        <w:ind w:left="-210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发布招标公告</w:t>
      </w:r>
    </w:p>
    <w:p w14:paraId="039C0734">
      <w:pPr>
        <w:numPr>
          <w:ilvl w:val="0"/>
          <w:numId w:val="0"/>
        </w:numPr>
        <w:spacing w:line="360" w:lineRule="auto"/>
        <w:ind w:left="-635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按照上面必填项填写即可，如果选择推送中招网【是】，则全流程公告都会推送中招。</w:t>
      </w:r>
    </w:p>
    <w:p w14:paraId="4CC2A493">
      <w:pPr>
        <w:numPr>
          <w:ilvl w:val="0"/>
          <w:numId w:val="0"/>
        </w:numPr>
        <w:spacing w:line="360" w:lineRule="auto"/>
        <w:ind w:left="-635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21175" cy="2238375"/>
            <wp:effectExtent l="0" t="0" r="6985" b="1905"/>
            <wp:docPr id="35" name="图片 35" descr="b654baeb-3970-46a2-b64a-6f5a9f146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654baeb-3970-46a2-b64a-6f5a9f1467f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16B9">
      <w:pPr>
        <w:numPr>
          <w:ilvl w:val="0"/>
          <w:numId w:val="0"/>
        </w:numPr>
        <w:spacing w:line="360" w:lineRule="auto"/>
        <w:ind w:left="-635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987165" cy="2106930"/>
            <wp:effectExtent l="0" t="0" r="5715" b="11430"/>
            <wp:docPr id="36" name="图片 36" descr="15fcd171-bf92-492c-b903-2001180c1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fcd171-bf92-492c-b903-2001180c1f7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AB07">
      <w:pPr>
        <w:numPr>
          <w:ilvl w:val="0"/>
          <w:numId w:val="0"/>
        </w:numPr>
        <w:spacing w:line="360" w:lineRule="auto"/>
        <w:ind w:left="-635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5.如果涉及一些项目变动，可进行场地变更、场地取消、变更公告、答疑澄清公告，如果要终止项目则走招标异常等等，操作步骤和发布招标公告类似，里面填写的内容不同而已。</w:t>
      </w:r>
    </w:p>
    <w:p w14:paraId="4CF3C4B4">
      <w:pPr>
        <w:numPr>
          <w:ilvl w:val="0"/>
          <w:numId w:val="0"/>
        </w:numPr>
        <w:spacing w:line="360" w:lineRule="auto"/>
        <w:ind w:left="-635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326130" cy="2586990"/>
            <wp:effectExtent l="0" t="0" r="11430" b="3810"/>
            <wp:docPr id="37" name="图片 37" descr="a9b97f3a-2e30-4594-be5d-16f00bb83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9b97f3a-2e30-4594-be5d-16f00bb836c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1E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7" w:name="_Toc28512"/>
      <w:bookmarkStart w:id="8" w:name="_Toc16997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开评标系统（演示项目为简易评标法）</w:t>
      </w:r>
      <w:bookmarkEnd w:id="7"/>
      <w:bookmarkEnd w:id="8"/>
    </w:p>
    <w:p w14:paraId="41A32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开评标过程，系统主要使用到：开标直播大厅系统、评标系统。</w:t>
      </w:r>
    </w:p>
    <w:p w14:paraId="0822694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2988310"/>
            <wp:effectExtent l="0" t="0" r="4445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0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关于直播的建议：在代表球号抽取、入围名单抽取、K值抽取、中标候选人抽取时，请开启直播。</w:t>
      </w:r>
    </w:p>
    <w:p w14:paraId="6BA0D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入围名单抽取完成后，点击”推送入围名单“后，可将名单导出后，手动在互动交流区域发送，双重保障，避免引起不必要的疑义和投诉。</w:t>
      </w:r>
    </w:p>
    <w:p w14:paraId="641357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抽取K值完成后，也应在互动交流区发送结果，告知投标人，避免部分投标人没有实时关注直播。</w:t>
      </w:r>
    </w:p>
    <w:p w14:paraId="48C4E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抽完中标候选人后，可手动在互动交流区域发送中标候选人名单，避免部分投标人不知道是否中标，引起不必要的疑义和投诉。</w:t>
      </w:r>
    </w:p>
    <w:p w14:paraId="65250C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202BB7D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9" w:name="_Toc2144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第一步：开标直播大厅系统公布投标人</w:t>
      </w:r>
      <w:bookmarkEnd w:id="9"/>
    </w:p>
    <w:p w14:paraId="0CD4C31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67075" cy="1657350"/>
            <wp:effectExtent l="0" t="0" r="9525" b="3810"/>
            <wp:docPr id="99" name="图片 99" descr="3c4b7baa-0a35-485c-8f3b-cf148a527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c4b7baa-0a35-485c-8f3b-cf148a5279e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6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公布投标人后，等待解密。</w:t>
      </w:r>
    </w:p>
    <w:p w14:paraId="6C92F96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10" w:name="_Toc1281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第二步：在等待投标人解密时，可到评标系统中，进行公布投标人、变更材料下载（如若无，可跳过）。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5260" cy="2988310"/>
            <wp:effectExtent l="0" t="0" r="2540" b="889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1225368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340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第三步：投标人解密完成后，进行投标文件导入。</w:t>
      </w:r>
      <w:bookmarkEnd w:id="11"/>
    </w:p>
    <w:p w14:paraId="44A3E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切记！！！</w:t>
      </w:r>
    </w:p>
    <w:p w14:paraId="1EC58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先到评标系统中进行导入，在评标系统---&gt;投标文件解密。评标系统导入后，再到直播大厅中导入。</w:t>
      </w:r>
    </w:p>
    <w:p w14:paraId="22B1F9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988310"/>
            <wp:effectExtent l="0" t="0" r="1905" b="889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000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988310"/>
            <wp:effectExtent l="0" t="0" r="1905" b="889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553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98C6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开评标系统导入完成后，再到大厅系统进行导入（导入后开标大厅就可以一直下一步然后到开标结束，大厅的流程就结束了。）</w:t>
      </w:r>
    </w:p>
    <w:p w14:paraId="3E420AB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646045"/>
            <wp:effectExtent l="0" t="0" r="12065" b="5715"/>
            <wp:docPr id="105" name="图片 105" descr="9105836c-af11-429b-867b-b6d007b69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9105836c-af11-429b-867b-b6d007b697f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223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Toc2068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第四步：确定随机程序、抽取入围名单</w:t>
      </w:r>
      <w:bookmarkEnd w:id="12"/>
    </w:p>
    <w:p w14:paraId="5DD5A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抽取入围名单需要注意，当投标家数不满足时，全部入围，此时需要手动点击“不参与”，使其转变成“参与”。</w:t>
      </w:r>
    </w:p>
    <w:p w14:paraId="5CA2B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如果投标家数满足条件时，进行抽取步骤后，入围的投标单位会自动由“不参与”变为“参与”，无需手动操作。</w:t>
      </w:r>
    </w:p>
    <w:p w14:paraId="1052D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最后，请记得点击“推送入围名单”按钮。</w:t>
      </w:r>
    </w:p>
    <w:p w14:paraId="298351F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13680" cy="2736850"/>
            <wp:effectExtent l="0" t="0" r="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rcRect t="8415" r="-85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B3E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A01C69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39080" cy="2747645"/>
            <wp:effectExtent l="0" t="0" r="0" b="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rcRect t="8054" r="-133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B3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79C5D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E331E5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738755"/>
            <wp:effectExtent l="0" t="0" r="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rcRect t="8351" r="-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08F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3" w:name="_Toc811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第五步：录入评委名单</w:t>
      </w:r>
      <w:bookmarkEnd w:id="13"/>
    </w:p>
    <w:p w14:paraId="14A2BB3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6530" cy="2708910"/>
            <wp:effectExtent l="0" t="0" r="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rcRect t="9350" r="2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2B5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4" w:name="_Toc2358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第六步：抽取中标候选人</w:t>
      </w:r>
      <w:bookmarkEnd w:id="14"/>
    </w:p>
    <w:p w14:paraId="0D6EC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注意：摇球的是代表号，而非投标人的序号</w:t>
      </w:r>
    </w:p>
    <w:p w14:paraId="55FF5B3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745740"/>
            <wp:effectExtent l="0" t="0" r="0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rcRect t="8117" r="-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157A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988310"/>
            <wp:effectExtent l="0" t="0" r="1905" b="889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A5F8">
      <w:pPr>
        <w:rPr>
          <w:rFonts w:hint="eastAsia"/>
          <w:lang w:val="en-US" w:eastAsia="zh-CN"/>
        </w:rPr>
      </w:pPr>
    </w:p>
    <w:p w14:paraId="36E30BD2">
      <w:pPr>
        <w:rPr>
          <w:rFonts w:hint="eastAsia"/>
          <w:lang w:val="en-US" w:eastAsia="zh-CN"/>
        </w:rPr>
      </w:pPr>
    </w:p>
    <w:p w14:paraId="5BD8C835">
      <w:pPr>
        <w:rPr>
          <w:rFonts w:hint="eastAsia"/>
          <w:lang w:val="en-US" w:eastAsia="zh-CN"/>
        </w:rPr>
      </w:pPr>
    </w:p>
    <w:p w14:paraId="58D7F39B">
      <w:pPr>
        <w:rPr>
          <w:rFonts w:hint="eastAsia"/>
          <w:lang w:val="en-US" w:eastAsia="zh-CN"/>
        </w:rPr>
      </w:pPr>
    </w:p>
    <w:p w14:paraId="12EC46F5">
      <w:pPr>
        <w:rPr>
          <w:rFonts w:hint="eastAsia"/>
          <w:lang w:val="en-US" w:eastAsia="zh-CN"/>
        </w:rPr>
      </w:pPr>
    </w:p>
    <w:p w14:paraId="3899D301">
      <w:pPr>
        <w:rPr>
          <w:rFonts w:hint="eastAsia"/>
          <w:lang w:val="en-US" w:eastAsia="zh-CN"/>
        </w:rPr>
      </w:pPr>
    </w:p>
    <w:p w14:paraId="095160F1">
      <w:pPr>
        <w:rPr>
          <w:rFonts w:hint="eastAsia"/>
          <w:lang w:val="en-US" w:eastAsia="zh-CN"/>
        </w:rPr>
      </w:pPr>
    </w:p>
    <w:p w14:paraId="1CD16D54">
      <w:pPr>
        <w:rPr>
          <w:rFonts w:hint="eastAsia"/>
          <w:lang w:val="en-US" w:eastAsia="zh-CN"/>
        </w:rPr>
      </w:pPr>
    </w:p>
    <w:p w14:paraId="07E818FC">
      <w:pPr>
        <w:rPr>
          <w:rFonts w:hint="eastAsia"/>
          <w:lang w:val="en-US" w:eastAsia="zh-CN"/>
        </w:rPr>
      </w:pPr>
    </w:p>
    <w:p w14:paraId="3EC6E1DC">
      <w:pPr>
        <w:rPr>
          <w:rFonts w:hint="eastAsia"/>
          <w:lang w:val="en-US" w:eastAsia="zh-CN"/>
        </w:rPr>
      </w:pPr>
    </w:p>
    <w:p w14:paraId="177E8B37">
      <w:pPr>
        <w:rPr>
          <w:rFonts w:hint="eastAsia"/>
          <w:lang w:val="en-US" w:eastAsia="zh-CN"/>
        </w:rPr>
      </w:pPr>
    </w:p>
    <w:p w14:paraId="7D1C7754">
      <w:pPr>
        <w:rPr>
          <w:rFonts w:hint="eastAsia"/>
          <w:lang w:val="en-US" w:eastAsia="zh-CN"/>
        </w:rPr>
      </w:pPr>
    </w:p>
    <w:p w14:paraId="4AF54F2B">
      <w:pPr>
        <w:rPr>
          <w:rFonts w:hint="eastAsia"/>
          <w:lang w:val="en-US" w:eastAsia="zh-CN"/>
        </w:rPr>
      </w:pPr>
    </w:p>
    <w:p w14:paraId="0CF981D0">
      <w:pPr>
        <w:rPr>
          <w:rFonts w:hint="eastAsia"/>
          <w:lang w:val="en-US" w:eastAsia="zh-CN"/>
        </w:rPr>
      </w:pPr>
    </w:p>
    <w:p w14:paraId="6BCE2C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抽取专家</w:t>
      </w:r>
    </w:p>
    <w:p w14:paraId="7A9B8382"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菜单栏中选择“专家辅助抽取”后并新增项目</w:t>
      </w:r>
    </w:p>
    <w:p w14:paraId="3329FB32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63315" cy="2747010"/>
            <wp:effectExtent l="0" t="0" r="9525" b="11430"/>
            <wp:docPr id="40" name="图片 40" descr="5c3263b0-3eda-4f2e-adb4-9a8bf4afa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c3263b0-3eda-4f2e-adb4-9a8bf4afa0d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1F0D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84705"/>
            <wp:effectExtent l="0" t="0" r="6350" b="3175"/>
            <wp:docPr id="42" name="图片 42" descr="e28a9811-8b90-4bf0-9be5-8eaa3afac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28a9811-8b90-4bf0-9be5-8eaa3afacbf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5F53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2B2C1914">
      <w:pPr>
        <w:numPr>
          <w:ilvl w:val="0"/>
          <w:numId w:val="0"/>
        </w:numPr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 w:ascii="Calibri" w:hAnsi="Calibri" w:eastAsia="宋体" w:cs="Times New Roman"/>
          <w:lang w:val="en-US" w:eastAsia="zh-CN"/>
        </w:rPr>
        <w:t>填入需要抽取专家的项目的具体信息，评标地址等信息，评标时间和评委签到时间没有特殊情况保持一致；</w:t>
      </w:r>
    </w:p>
    <w:p w14:paraId="7BE85B7F">
      <w:pPr>
        <w:numPr>
          <w:ilvl w:val="0"/>
          <w:numId w:val="0"/>
        </w:numPr>
        <w:rPr>
          <w:rFonts w:hint="default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注意：评标地址请输入中文，不要输入特殊符号等，输入地址后把此次评标的费用一起附上，避免后续因为涉及费用问题浪费评标时间。</w:t>
      </w:r>
    </w:p>
    <w:p w14:paraId="2534F57E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53305" cy="2178685"/>
            <wp:effectExtent l="0" t="0" r="8255" b="635"/>
            <wp:docPr id="43" name="图片 43" descr="b988ab70-c16b-4851-bc7a-54d757278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988ab70-c16b-4851-bc7a-54d757278f4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77F6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3.专业挑选</w:t>
      </w:r>
    </w:p>
    <w:p w14:paraId="290A8BEE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729230"/>
            <wp:effectExtent l="0" t="0" r="7620" b="13970"/>
            <wp:docPr id="44" name="图片 44" descr="93848140-003e-4c75-9eb4-76a8738af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3848140-003e-4c75-9eb4-76a8738afc9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111C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1E72CA6B">
      <w:pPr>
        <w:numPr>
          <w:ilvl w:val="0"/>
          <w:numId w:val="0"/>
        </w:numPr>
        <w:bidi w:val="0"/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填写专家的人数后，系统自动会按填写人数1比3添加专家人员，回避单位和专家可根据项目去选择（代理、招标人、投标人单位系统已自动回避）</w:t>
      </w:r>
    </w:p>
    <w:p w14:paraId="254F99E9">
      <w:pPr>
        <w:numPr>
          <w:ilvl w:val="0"/>
          <w:numId w:val="0"/>
        </w:numPr>
        <w:bidi w:val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63515" cy="1517650"/>
            <wp:effectExtent l="0" t="0" r="9525" b="6350"/>
            <wp:docPr id="45" name="图片 45" descr="4bec1a14-f52b-441b-8c3e-08603d58e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bec1a14-f52b-441b-8c3e-08603d58eeb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233A">
      <w:pPr>
        <w:numPr>
          <w:ilvl w:val="0"/>
          <w:numId w:val="0"/>
        </w:numPr>
        <w:bidi w:val="0"/>
        <w:rPr>
          <w:rFonts w:hint="default" w:ascii="Times New Roman" w:eastAsia="宋体"/>
          <w:lang w:val="en-US" w:eastAsia="zh-CN"/>
        </w:rPr>
      </w:pPr>
    </w:p>
    <w:p w14:paraId="4F33D4B6">
      <w:pPr>
        <w:numPr>
          <w:ilvl w:val="0"/>
          <w:numId w:val="2"/>
        </w:numPr>
        <w:bidi w:val="0"/>
        <w:ind w:left="-210" w:leftChars="0" w:hanging="425" w:firstLineChars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全部填写完，点击左上角修改保存后，点击原来新增项目的页面中的具体抽专家项目的【开始抽取】</w:t>
      </w:r>
    </w:p>
    <w:p w14:paraId="02EA72F4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56530" cy="1668780"/>
            <wp:effectExtent l="0" t="0" r="1270" b="7620"/>
            <wp:docPr id="46" name="图片 46" descr="5bcd2b79-d5fb-4add-ae07-7d81186d7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bcd2b79-d5fb-4add-ae07-7d81186d73ac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BC7D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</w:p>
    <w:p w14:paraId="0A51541C">
      <w:pPr>
        <w:numPr>
          <w:ilvl w:val="0"/>
          <w:numId w:val="0"/>
        </w:numPr>
        <w:bidi w:val="0"/>
        <w:ind w:left="-635" w:leftChars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点击完系统就开始自动抽取，可以不用再操作，等到抽取到专家后去导出签到表和抽取表即可</w:t>
      </w:r>
    </w:p>
    <w:p w14:paraId="43E3A30D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64785" cy="2444115"/>
            <wp:effectExtent l="0" t="0" r="8255" b="9525"/>
            <wp:docPr id="47" name="图片 47" descr="7e17e412-548b-47e5-bcfd-dea774f9f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7e17e412-548b-47e5-bcfd-dea774f9f3dc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91F2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97DF34">
                          <w:pPr>
                            <w:pStyle w:val="3"/>
                            <w:rPr>
                              <w:sz w:val="20"/>
                              <w:szCs w:val="28"/>
                            </w:rPr>
                          </w:pPr>
                          <w:r>
                            <w:rPr>
                              <w:sz w:val="20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zCs w:val="28"/>
                            </w:rPr>
                            <w:t>1</w: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K3fadU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97DF34">
                    <w:pPr>
                      <w:pStyle w:val="3"/>
                      <w:rPr>
                        <w:sz w:val="20"/>
                        <w:szCs w:val="28"/>
                      </w:rPr>
                    </w:pPr>
                    <w:r>
                      <w:rPr>
                        <w:sz w:val="20"/>
                        <w:szCs w:val="28"/>
                      </w:rPr>
                      <w:t xml:space="preserve">第 </w:t>
                    </w:r>
                    <w:r>
                      <w:rPr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sz w:val="20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sz w:val="20"/>
                        <w:szCs w:val="28"/>
                      </w:rPr>
                      <w:t>1</w:t>
                    </w:r>
                    <w:r>
                      <w:rPr>
                        <w:sz w:val="20"/>
                        <w:szCs w:val="28"/>
                      </w:rPr>
                      <w:fldChar w:fldCharType="end"/>
                    </w:r>
                    <w:r>
                      <w:rPr>
                        <w:sz w:val="20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92918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jc w:val="left"/>
      <w:rPr>
        <w:rFonts w:ascii="Cambria" w:hAnsi="Cambria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宋体" w:hAnsi="宋体" w:eastAsia="宋体" w:cs="Times New Roman"/>
        <w:kern w:val="2"/>
        <w:sz w:val="18"/>
        <w:szCs w:val="18"/>
        <w:lang w:val="en-US" w:eastAsia="zh-CN" w:bidi="ar-SA"/>
      </w:rPr>
      <w:t>永春县阳光交易平台</w:t>
    </w:r>
    <w:r>
      <w:rPr>
        <w:rFonts w:hint="eastAsia" w:ascii="Cambria" w:hAnsi="Cambria" w:eastAsia="宋体" w:cs="Times New Roman"/>
        <w:b w:val="0"/>
        <w:bCs w:val="0"/>
        <w:kern w:val="2"/>
        <w:sz w:val="20"/>
        <w:szCs w:val="20"/>
        <w:lang w:val="en-US" w:eastAsia="zh-CN" w:bidi="ar-SA"/>
      </w:rPr>
      <w:t>操作手册</w:t>
    </w:r>
  </w:p>
  <w:p w14:paraId="03BCD7DC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jc w:val="both"/>
      <w:outlineLvl w:val="9"/>
      <w:rPr>
        <w:rFonts w:asciiTheme="minorHAnsi" w:hAnsiTheme="minorHAnsi" w:eastAsiaTheme="minorEastAsia" w:cstheme="minorBidi"/>
        <w:kern w:val="2"/>
        <w:sz w:val="18"/>
        <w:szCs w:val="24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49441B"/>
    <w:multiLevelType w:val="singleLevel"/>
    <w:tmpl w:val="C749441B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0B142733"/>
    <w:multiLevelType w:val="singleLevel"/>
    <w:tmpl w:val="0B142733"/>
    <w:lvl w:ilvl="0" w:tentative="0">
      <w:start w:val="1"/>
      <w:numFmt w:val="decimal"/>
      <w:suff w:val="nothing"/>
      <w:lvlText w:val="%1."/>
      <w:lvlJc w:val="left"/>
      <w:pPr>
        <w:ind w:left="-210" w:hanging="425"/>
      </w:pPr>
      <w:rPr>
        <w:rFonts w:hint="default"/>
      </w:rPr>
    </w:lvl>
  </w:abstractNum>
  <w:abstractNum w:abstractNumId="2">
    <w:nsid w:val="5451BCCE"/>
    <w:multiLevelType w:val="singleLevel"/>
    <w:tmpl w:val="5451BC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CF6E4B9"/>
    <w:multiLevelType w:val="singleLevel"/>
    <w:tmpl w:val="6CF6E4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70E4E"/>
    <w:rsid w:val="04CD5EF4"/>
    <w:rsid w:val="04ED49A4"/>
    <w:rsid w:val="0D923FF4"/>
    <w:rsid w:val="14A00C53"/>
    <w:rsid w:val="152F21CE"/>
    <w:rsid w:val="184A032B"/>
    <w:rsid w:val="1B13235C"/>
    <w:rsid w:val="1CB40502"/>
    <w:rsid w:val="31440D43"/>
    <w:rsid w:val="320B3478"/>
    <w:rsid w:val="47CB58DD"/>
    <w:rsid w:val="4F473238"/>
    <w:rsid w:val="5131656A"/>
    <w:rsid w:val="51A27202"/>
    <w:rsid w:val="5C126575"/>
    <w:rsid w:val="5F904FD0"/>
    <w:rsid w:val="6884144A"/>
    <w:rsid w:val="6F176B74"/>
    <w:rsid w:val="716B524F"/>
    <w:rsid w:val="78FE23EA"/>
    <w:rsid w:val="7D3B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174</Words>
  <Characters>278</Characters>
  <Lines>0</Lines>
  <Paragraphs>0</Paragraphs>
  <TotalTime>10</TotalTime>
  <ScaleCrop>false</ScaleCrop>
  <LinksUpToDate>false</LinksUpToDate>
  <CharactersWithSpaces>283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2025-05-26T11:55:00Z</dcterms:created>
  <dc:creator>朱佳吉</dc:creator>
  <cp:lastModifiedBy>Epoint</cp:lastModifiedBy>
  <dcterms:modified xsi:type="dcterms:W3CDTF">2025-12-25T08:44:38Z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eyJoZGlkIjoiMzgyZWRjNWJlNTliYjljYTBjNjQ4NjU2MTlkM2NlY2EiLCJ1c2VySWQiOiI1NTkzOTMzMjkifQ==</vt:lpwstr>
  </property>
  <property fmtid="{D5CDD505-2E9C-101B-9397-08002B2CF9AE}" pid="4" name="ICV">
    <vt:lpwstr>11FA563F5D8B404991B7C64A4AE62689_12</vt:lpwstr>
  </property>
</Properties>
</file>